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96" w:rsidRPr="00C85D96" w:rsidRDefault="00C85D96" w:rsidP="00C85D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5D96">
        <w:rPr>
          <w:rFonts w:ascii="Times New Roman" w:hAnsi="Times New Roman" w:cs="Times New Roman"/>
          <w:i/>
          <w:sz w:val="24"/>
          <w:szCs w:val="24"/>
        </w:rPr>
        <w:t>Субъекты малого и среднего предпринимательства</w:t>
      </w:r>
    </w:p>
    <w:p w:rsidR="00C85D96" w:rsidRDefault="00C85D96" w:rsidP="00A1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86" w:rsidRPr="00A17586" w:rsidRDefault="00A17586" w:rsidP="00A1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8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A17586" w:rsidRPr="00A17586" w:rsidRDefault="00A17586" w:rsidP="00A1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A175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5C41">
        <w:rPr>
          <w:rFonts w:ascii="Times New Roman" w:hAnsi="Times New Roman" w:cs="Times New Roman"/>
          <w:b/>
          <w:sz w:val="28"/>
          <w:szCs w:val="28"/>
        </w:rPr>
        <w:t>Ответственность за нарушения трудового законодательства с учетом изменений КоАП РФ</w:t>
      </w:r>
      <w:r w:rsidRPr="00A17586">
        <w:rPr>
          <w:rFonts w:ascii="Times New Roman" w:hAnsi="Times New Roman" w:cs="Times New Roman"/>
          <w:b/>
          <w:sz w:val="28"/>
          <w:szCs w:val="28"/>
        </w:rPr>
        <w:t>»</w:t>
      </w:r>
    </w:p>
    <w:p w:rsidR="00A17586" w:rsidRPr="00A17586" w:rsidRDefault="00A17586" w:rsidP="00A1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86">
        <w:rPr>
          <w:rFonts w:ascii="Times New Roman" w:hAnsi="Times New Roman" w:cs="Times New Roman"/>
          <w:b/>
          <w:sz w:val="28"/>
          <w:szCs w:val="28"/>
        </w:rPr>
        <w:t>(</w:t>
      </w:r>
      <w:r w:rsidR="001D5C41">
        <w:rPr>
          <w:rFonts w:ascii="Times New Roman" w:hAnsi="Times New Roman" w:cs="Times New Roman"/>
          <w:b/>
          <w:sz w:val="28"/>
          <w:szCs w:val="28"/>
        </w:rPr>
        <w:t>25</w:t>
      </w:r>
      <w:r w:rsidRPr="00A17586">
        <w:rPr>
          <w:rFonts w:ascii="Times New Roman" w:hAnsi="Times New Roman" w:cs="Times New Roman"/>
          <w:b/>
          <w:sz w:val="28"/>
          <w:szCs w:val="28"/>
        </w:rPr>
        <w:t xml:space="preserve">.10.2017 – </w:t>
      </w:r>
      <w:r w:rsidR="001D5C41">
        <w:rPr>
          <w:rFonts w:ascii="Times New Roman" w:hAnsi="Times New Roman" w:cs="Times New Roman"/>
          <w:b/>
          <w:sz w:val="28"/>
          <w:szCs w:val="28"/>
        </w:rPr>
        <w:t>27</w:t>
      </w:r>
      <w:r w:rsidRPr="00A17586">
        <w:rPr>
          <w:rFonts w:ascii="Times New Roman" w:hAnsi="Times New Roman" w:cs="Times New Roman"/>
          <w:b/>
          <w:sz w:val="28"/>
          <w:szCs w:val="28"/>
        </w:rPr>
        <w:t>.10.2017)</w:t>
      </w:r>
    </w:p>
    <w:p w:rsidR="00FD5262" w:rsidRPr="00A17586" w:rsidRDefault="00FD5262" w:rsidP="00A1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852"/>
        <w:gridCol w:w="8141"/>
        <w:gridCol w:w="3571"/>
      </w:tblGrid>
      <w:tr w:rsidR="00A17586" w:rsidRPr="00DD4DC2" w:rsidTr="00DD4DC2"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bCs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Дата занятия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1D5C41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bCs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Время </w:t>
            </w:r>
            <w:r w:rsidR="001D5C41" w:rsidRPr="00DD4DC2">
              <w:rPr>
                <w:rFonts w:ascii="Times New Roman" w:eastAsia="Times New Roman" w:hAnsi="Times New Roman" w:cs="Times New Roman"/>
                <w:b/>
                <w:bCs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занятия</w:t>
            </w:r>
          </w:p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bCs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Тема лекции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bCs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Ф.И.О. преподавателя, ученая степень, опыт работы</w:t>
            </w:r>
          </w:p>
        </w:tc>
      </w:tr>
      <w:tr w:rsidR="00A17586" w:rsidRPr="00DD4DC2" w:rsidTr="00DD4DC2"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25.10.2017 среда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09.40-11.10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86" w:rsidRPr="00DD4DC2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 xml:space="preserve">Кадровый учет на </w:t>
            </w:r>
            <w:proofErr w:type="spellStart"/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>микропредприятии</w:t>
            </w:r>
            <w:proofErr w:type="spellEnd"/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 xml:space="preserve"> c 2017 года</w:t>
            </w:r>
          </w:p>
          <w:p w:rsidR="00A17586" w:rsidRPr="00DD4DC2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Упрощенный порядок кадрового документооборота с 2017 года. Обязательная форма трудового договора. Критерии отнесения организаций и индивидуальных предпринимателей к субъектам малого и среднего предпринимательства (</w:t>
            </w:r>
            <w:proofErr w:type="spellStart"/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 xml:space="preserve">). Что придётся изменить работодателю, если он утратит статус </w:t>
            </w:r>
            <w:proofErr w:type="spellStart"/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Агаев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Бахтияр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Логманович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, аспирант кафедры трудового права и </w:t>
            </w:r>
            <w:proofErr w:type="gram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права социального обеспечения</w:t>
            </w:r>
            <w:proofErr w:type="gram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Академии труда и социальных отношений </w:t>
            </w:r>
          </w:p>
          <w:p w:rsid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(г. Москва), опыт работы в правоохранительных и контролирующих органах 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более 8 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A17586" w:rsidRPr="00DD4DC2" w:rsidTr="00DD4DC2">
        <w:trPr>
          <w:trHeight w:val="2465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586" w:rsidRPr="00DD4DC2" w:rsidRDefault="00A17586" w:rsidP="00700AA7">
            <w:pPr>
              <w:spacing w:after="0" w:line="240" w:lineRule="auto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11.20-12.50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86" w:rsidRPr="00DD4DC2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Новый порядок проведения обучения и инструктажей по гражданской обороне при приёме работника на работу с мая 2017 года</w:t>
            </w:r>
          </w:p>
          <w:p w:rsidR="00A17586" w:rsidRPr="00DD4DC2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Новые требования к проведению инструктажей всех принятых на работу. Ответственные за ГО ЧС внутри компании и подразделений. Какое они должны иметь образование? В каких случаях такие ответственные должны быть освобождены от своей основной работы? Порядок проведения обучения внутри компании. Пошаговый алгоритм организации новых требований в компании.</w:t>
            </w:r>
          </w:p>
        </w:tc>
        <w:tc>
          <w:tcPr>
            <w:tcW w:w="35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A17586" w:rsidRPr="00DD4DC2" w:rsidTr="00DD4DC2"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586" w:rsidRPr="00DD4DC2" w:rsidRDefault="00A17586" w:rsidP="00700AA7">
            <w:pPr>
              <w:spacing w:after="0" w:line="240" w:lineRule="auto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13.00-13.45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86" w:rsidRPr="00DD4DC2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Профессиональные стандарты — практика применения</w:t>
            </w:r>
          </w:p>
          <w:p w:rsidR="001D5C41" w:rsidRDefault="00A17586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Порядок действия работодателя: проверка штатного расписания, должностных инструкций, корректировка трудовых договоров и др. Порядок применения профессиональных стандартов, нюансы и особенности. Разработка и установка новых положений об обязательном применении </w:t>
            </w: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профстандартов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всеми категориями работодателей.</w:t>
            </w:r>
          </w:p>
          <w:p w:rsidR="00C85D96" w:rsidRPr="00DD4DC2" w:rsidRDefault="00C85D96" w:rsidP="00DD4DC2">
            <w:pPr>
              <w:spacing w:after="0" w:line="338" w:lineRule="atLeast"/>
              <w:jc w:val="center"/>
              <w:textAlignment w:val="baseline"/>
              <w:rPr>
                <w:rFonts w:eastAsia="Times New Roman" w:cs="Times New Roman"/>
                <w:b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A17586" w:rsidRPr="00DD4DC2" w:rsidTr="00DD4DC2"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26.10.2017 четверг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09.40-11.10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>Поправки, внесённые в Трудовой кодекс РФ от 29.06.2017: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Изменения ненормированного рабочего дня. Дополнительные нормы по установлению неполного рабочего времени. Новый учёт и оплата сверхурочной работы. Новый порядок расчёта и оплаты работы в выходной и праздничный день. Дополнения по перерывам для отдыха и питания.</w:t>
            </w:r>
          </w:p>
        </w:tc>
        <w:tc>
          <w:tcPr>
            <w:tcW w:w="35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Агаев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Бахтияр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Логманович</w:t>
            </w:r>
            <w:proofErr w:type="spell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, аспирант кафедры трудового права и </w:t>
            </w:r>
            <w:proofErr w:type="gram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права социального обеспечения</w:t>
            </w:r>
            <w:proofErr w:type="gram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Академии труда и социальных отношений </w:t>
            </w:r>
          </w:p>
          <w:p w:rsid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(г. Москва), опыт работы в правоохранительных и контролирующих органах 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более 8 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A17586" w:rsidRPr="00DD4DC2" w:rsidTr="00DD4DC2">
        <w:trPr>
          <w:trHeight w:val="1540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586" w:rsidRPr="00DD4DC2" w:rsidRDefault="00A17586" w:rsidP="00700AA7">
            <w:pPr>
              <w:spacing w:after="0" w:line="240" w:lineRule="auto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11.20-12.50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Проверки трудовой инспекции, прокуратуры</w:t>
            </w:r>
          </w:p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gram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риск-ориентированного</w:t>
            </w:r>
            <w:proofErr w:type="gram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 при плановых проверках работодателей. Уточнённый перечень всех проверяемых требований трудового законодательства. Кто будет попадать под плановые проверки инспекции труда каждые два года? Что нужно сделать внутри организации, чтобы попасть в перечень компаний, в которых плановые проверки проводиться не будут? </w:t>
            </w:r>
            <w:proofErr w:type="gram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За что трудовая инспекции не имеет права штрафовать работодателя – наглядный правовой конструктор по наиболее типичным нарушениям прав работодателя.</w:t>
            </w:r>
            <w:proofErr w:type="gram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Жалобы работников. Внеплановые проверки трудовой инспекции. В каких случаях трудовая инспекция может провести внеплановую проверку. Проверки прокуратуры</w:t>
            </w:r>
          </w:p>
        </w:tc>
        <w:tc>
          <w:tcPr>
            <w:tcW w:w="35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A17586" w:rsidRPr="00DD4DC2" w:rsidTr="00DD4DC2"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586" w:rsidRPr="00DD4DC2" w:rsidRDefault="00A17586" w:rsidP="00700AA7">
            <w:pPr>
              <w:spacing w:after="0" w:line="240" w:lineRule="auto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13.00-13.45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>Увеличение штрафа за задержку зарплаты и иных выплат, причитающихся работнику, а также сроков давности и размера ответственности за нарушения трудового законодательства</w:t>
            </w:r>
          </w:p>
        </w:tc>
        <w:tc>
          <w:tcPr>
            <w:tcW w:w="3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86" w:rsidRPr="00DD4DC2" w:rsidRDefault="00A17586" w:rsidP="00700AA7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  <w:tr w:rsidR="00DD4DC2" w:rsidRPr="00DD4DC2" w:rsidTr="00E75DE3">
        <w:tc>
          <w:tcPr>
            <w:tcW w:w="15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DC2" w:rsidRPr="00DD4DC2" w:rsidRDefault="00DD4DC2" w:rsidP="00DD4D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27.10.2017 пятница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09.40-11.10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E36464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b/>
                <w:color w:val="3D444B"/>
                <w:sz w:val="24"/>
                <w:szCs w:val="24"/>
                <w:lang w:eastAsia="ru-RU"/>
              </w:rPr>
              <w:t>Ответственность работодателей за нарушение трудового законодательства РФ</w:t>
            </w:r>
          </w:p>
          <w:p w:rsidR="00DD4DC2" w:rsidRPr="00DD4DC2" w:rsidRDefault="00DD4DC2" w:rsidP="00E36464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  <w:t>Административная ответственность за нарушение трудового законодательства. Сроки давности привлечения к административной ответственности. Обстоятельства, смягчающие и отягчающие административную ответственность. Уголовная ответственность за нарушение трудового законодательства. Как работодателю избежать административной ответственности в виде больших штрафов в случае нарушения трудового законодательства. Прекращение административного дела в связи с малозначительностью.</w:t>
            </w:r>
          </w:p>
        </w:tc>
        <w:tc>
          <w:tcPr>
            <w:tcW w:w="357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Агаев Бахтияр Логманович, аспирант кафедры трудового права и </w:t>
            </w:r>
            <w:proofErr w:type="gramStart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права социального обеспечения</w:t>
            </w:r>
            <w:proofErr w:type="gramEnd"/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Академии труда и социальных отношений </w:t>
            </w:r>
          </w:p>
          <w:p w:rsid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 xml:space="preserve">(г. Москва), опыт работы в правоохранительных и контролирующих органах </w:t>
            </w:r>
          </w:p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более 8</w:t>
            </w:r>
          </w:p>
        </w:tc>
      </w:tr>
      <w:tr w:rsidR="00DD4DC2" w:rsidRPr="00DD4DC2" w:rsidTr="00E75DE3">
        <w:tc>
          <w:tcPr>
            <w:tcW w:w="1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DC2" w:rsidRPr="00DD4DC2" w:rsidRDefault="00DD4DC2" w:rsidP="00DD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11.20-12.50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b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Новые санкции за нарушение законодательства по персональным данным с 01.07.2017</w:t>
            </w:r>
          </w:p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Почему проверка Роскомнадзора с 01.07.2017 будет нести значительный финансовый риск для компании? Кто будет ответственным за найденные нарушения? Что в расписке о согласии на обработку персональных данных может привести к умножению штрафов? Публичное размещение положения о защите персональных данных. Порядок подтверждения уничтожения документов. Как организовать его так, чтобы не проводить ежемесячно?</w:t>
            </w:r>
          </w:p>
        </w:tc>
        <w:tc>
          <w:tcPr>
            <w:tcW w:w="35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D4DC2" w:rsidRPr="00DD4DC2" w:rsidTr="00DD4DC2"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DC2" w:rsidRPr="00DD4DC2" w:rsidRDefault="00DD4DC2" w:rsidP="00DD4D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13.00-13.45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eastAsia="Times New Roman" w:cs="Times New Roman"/>
                <w:color w:val="3D444B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eastAsia="Times New Roman" w:hAnsi="Times New Roman" w:cs="Times New Roman"/>
                <w:color w:val="3D444B"/>
                <w:sz w:val="24"/>
                <w:szCs w:val="24"/>
                <w:bdr w:val="none" w:sz="0" w:space="0" w:color="auto" w:frame="1"/>
                <w:lang w:eastAsia="ru-RU"/>
              </w:rPr>
              <w:t>Правовое моделирование общения с надзорными и контролирующими органами. Ответы на вопросы слушателей. Подведение итогов. Выдача раздаточного материала.</w:t>
            </w:r>
          </w:p>
        </w:tc>
        <w:tc>
          <w:tcPr>
            <w:tcW w:w="3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C2" w:rsidRPr="00DD4DC2" w:rsidRDefault="00DD4DC2" w:rsidP="00DD4DC2">
            <w:pPr>
              <w:spacing w:after="0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444B"/>
                <w:sz w:val="24"/>
                <w:szCs w:val="24"/>
                <w:lang w:eastAsia="ru-RU"/>
              </w:rPr>
            </w:pPr>
          </w:p>
        </w:tc>
      </w:tr>
    </w:tbl>
    <w:p w:rsidR="00FD5262" w:rsidRDefault="00FD5262" w:rsidP="00DD4DC2">
      <w:pPr>
        <w:jc w:val="center"/>
      </w:pPr>
    </w:p>
    <w:p w:rsidR="0018418F" w:rsidRDefault="0018418F" w:rsidP="002A73D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участия в семинаре просьба </w:t>
      </w:r>
      <w:proofErr w:type="gramStart"/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>заявиться</w:t>
      </w:r>
      <w:proofErr w:type="gramEnd"/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телефону 4932 30 06 83 </w:t>
      </w:r>
    </w:p>
    <w:p w:rsidR="00DD4DC2" w:rsidRPr="0018418F" w:rsidRDefault="0018418F" w:rsidP="002A73D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или электронной почте </w:t>
      </w:r>
      <w:hyperlink r:id="rId7" w:history="1"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  <w:lang w:val="en-US"/>
          </w:rPr>
          <w:t>opk</w:t>
        </w:r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</w:rPr>
          <w:t>.</w:t>
        </w:r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  <w:lang w:val="en-US"/>
          </w:rPr>
          <w:t>pa</w:t>
        </w:r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</w:rPr>
          <w:t>@</w:t>
        </w:r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  <w:lang w:val="en-US"/>
          </w:rPr>
          <w:t>mail</w:t>
        </w:r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</w:rPr>
          <w:t>.</w:t>
        </w:r>
        <w:proofErr w:type="spellStart"/>
        <w:r w:rsidRPr="0018418F">
          <w:rPr>
            <w:rStyle w:val="a7"/>
            <w:rFonts w:ascii="Times New Roman" w:hAnsi="Times New Roman" w:cs="Times New Roman"/>
            <w:b/>
            <w:color w:val="FF0000"/>
            <w:sz w:val="36"/>
            <w:szCs w:val="36"/>
            <w:lang w:val="en-US"/>
          </w:rPr>
          <w:t>ru</w:t>
        </w:r>
        <w:proofErr w:type="spellEnd"/>
      </w:hyperlink>
    </w:p>
    <w:p w:rsidR="0018418F" w:rsidRPr="0018418F" w:rsidRDefault="0018418F" w:rsidP="002A73D8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18418F" w:rsidRPr="0018418F" w:rsidRDefault="0018418F" w:rsidP="002A73D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>Занятия будут проходить по адресу г. Иваново, пер. Посадский, дом 8 литер А</w:t>
      </w:r>
      <w:proofErr w:type="gramStart"/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proofErr w:type="gramEnd"/>
      <w:r w:rsidRPr="0018418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18418F" w:rsidRPr="0018418F" w:rsidRDefault="0018418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18418F" w:rsidRPr="0018418F" w:rsidSect="001D5C41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3D" w:rsidRDefault="00BD623D" w:rsidP="002A73D8">
      <w:pPr>
        <w:spacing w:after="0" w:line="240" w:lineRule="auto"/>
      </w:pPr>
      <w:r>
        <w:separator/>
      </w:r>
    </w:p>
  </w:endnote>
  <w:endnote w:type="continuationSeparator" w:id="0">
    <w:p w:rsidR="00BD623D" w:rsidRDefault="00BD623D" w:rsidP="002A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3D" w:rsidRDefault="00BD623D" w:rsidP="002A73D8">
      <w:pPr>
        <w:spacing w:after="0" w:line="240" w:lineRule="auto"/>
      </w:pPr>
      <w:r>
        <w:separator/>
      </w:r>
    </w:p>
  </w:footnote>
  <w:footnote w:type="continuationSeparator" w:id="0">
    <w:p w:rsidR="00BD623D" w:rsidRDefault="00BD623D" w:rsidP="002A7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2"/>
    <w:rsid w:val="00014F0D"/>
    <w:rsid w:val="0018418F"/>
    <w:rsid w:val="001D5C41"/>
    <w:rsid w:val="002A73D8"/>
    <w:rsid w:val="00975498"/>
    <w:rsid w:val="00A17586"/>
    <w:rsid w:val="00BD623D"/>
    <w:rsid w:val="00C85D96"/>
    <w:rsid w:val="00DD4DC2"/>
    <w:rsid w:val="00EC7F1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3D8"/>
  </w:style>
  <w:style w:type="paragraph" w:styleId="a5">
    <w:name w:val="footer"/>
    <w:basedOn w:val="a"/>
    <w:link w:val="a6"/>
    <w:uiPriority w:val="99"/>
    <w:unhideWhenUsed/>
    <w:rsid w:val="002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D8"/>
  </w:style>
  <w:style w:type="character" w:styleId="a7">
    <w:name w:val="Hyperlink"/>
    <w:basedOn w:val="a0"/>
    <w:uiPriority w:val="99"/>
    <w:unhideWhenUsed/>
    <w:rsid w:val="001841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3D8"/>
  </w:style>
  <w:style w:type="paragraph" w:styleId="a5">
    <w:name w:val="footer"/>
    <w:basedOn w:val="a"/>
    <w:link w:val="a6"/>
    <w:uiPriority w:val="99"/>
    <w:unhideWhenUsed/>
    <w:rsid w:val="002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D8"/>
  </w:style>
  <w:style w:type="character" w:styleId="a7">
    <w:name w:val="Hyperlink"/>
    <w:basedOn w:val="a0"/>
    <w:uiPriority w:val="99"/>
    <w:unhideWhenUsed/>
    <w:rsid w:val="0018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k.p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ranhigs</cp:lastModifiedBy>
  <cp:revision>6</cp:revision>
  <dcterms:created xsi:type="dcterms:W3CDTF">2017-10-13T10:50:00Z</dcterms:created>
  <dcterms:modified xsi:type="dcterms:W3CDTF">2017-10-24T11:45:00Z</dcterms:modified>
</cp:coreProperties>
</file>